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湖北经济学院法商学院教师年度调剂金评定表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20" w:lineRule="exact"/>
        <w:ind w:firstLine="240" w:firstLineChars="100"/>
        <w:textAlignment w:val="auto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教师姓名</w:t>
      </w:r>
      <w:r>
        <w:rPr>
          <w:rFonts w:ascii="仿宋_GB2312" w:hAnsi="仿宋_GB2312" w:eastAsia="仿宋_GB2312" w:cs="仿宋_GB2312"/>
          <w:kern w:val="0"/>
          <w:sz w:val="24"/>
        </w:rPr>
        <w:t xml:space="preserve">_________    </w:t>
      </w:r>
      <w:r>
        <w:rPr>
          <w:rFonts w:hint="eastAsia" w:ascii="仿宋_GB2312" w:hAnsi="仿宋_GB2312" w:eastAsia="仿宋_GB2312" w:cs="仿宋_GB2312"/>
          <w:kern w:val="0"/>
          <w:sz w:val="24"/>
        </w:rPr>
        <w:t>所在部门</w:t>
      </w:r>
      <w:r>
        <w:rPr>
          <w:rFonts w:ascii="仿宋_GB2312" w:hAnsi="仿宋_GB2312" w:eastAsia="仿宋_GB2312" w:cs="仿宋_GB2312"/>
          <w:kern w:val="0"/>
          <w:sz w:val="24"/>
        </w:rPr>
        <w:t xml:space="preserve">__________    </w:t>
      </w:r>
      <w:r>
        <w:rPr>
          <w:rFonts w:hint="eastAsia" w:ascii="仿宋_GB2312" w:hAnsi="仿宋_GB2312" w:eastAsia="仿宋_GB2312" w:cs="仿宋_GB2312"/>
          <w:kern w:val="0"/>
          <w:sz w:val="24"/>
        </w:rPr>
        <w:t>职称</w:t>
      </w:r>
      <w:r>
        <w:rPr>
          <w:rFonts w:ascii="仿宋_GB2312" w:hAnsi="仿宋_GB2312" w:eastAsia="仿宋_GB2312" w:cs="仿宋_GB2312"/>
          <w:kern w:val="0"/>
          <w:sz w:val="24"/>
        </w:rPr>
        <w:t xml:space="preserve">_________    </w:t>
      </w:r>
      <w:r>
        <w:rPr>
          <w:rFonts w:hint="eastAsia" w:ascii="仿宋_GB2312" w:hAnsi="仿宋_GB2312" w:eastAsia="仿宋_GB2312" w:cs="仿宋_GB2312"/>
          <w:kern w:val="0"/>
          <w:sz w:val="24"/>
        </w:rPr>
        <w:t>岗位类型</w:t>
      </w:r>
      <w:r>
        <w:rPr>
          <w:rFonts w:ascii="仿宋_GB2312" w:hAnsi="仿宋_GB2312" w:eastAsia="仿宋_GB2312" w:cs="仿宋_GB2312"/>
          <w:kern w:val="0"/>
          <w:sz w:val="24"/>
        </w:rPr>
        <w:t>____________</w:t>
      </w:r>
    </w:p>
    <w:tbl>
      <w:tblPr>
        <w:tblStyle w:val="6"/>
        <w:tblW w:w="10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567"/>
        <w:gridCol w:w="432"/>
        <w:gridCol w:w="1262"/>
        <w:gridCol w:w="1667"/>
        <w:gridCol w:w="2447"/>
        <w:gridCol w:w="482"/>
        <w:gridCol w:w="86"/>
        <w:gridCol w:w="567"/>
        <w:gridCol w:w="570"/>
        <w:gridCol w:w="570"/>
        <w:gridCol w:w="570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4" w:type="dxa"/>
            <w:gridSpan w:val="2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基本调剂金考核情况</w:t>
            </w:r>
          </w:p>
        </w:tc>
        <w:tc>
          <w:tcPr>
            <w:tcW w:w="1694" w:type="dxa"/>
            <w:gridSpan w:val="2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教学工作情况</w:t>
            </w:r>
          </w:p>
        </w:tc>
        <w:tc>
          <w:tcPr>
            <w:tcW w:w="7526" w:type="dxa"/>
            <w:gridSpan w:val="9"/>
            <w:vAlign w:val="center"/>
          </w:tcPr>
          <w:p>
            <w:pPr>
              <w:widowControl/>
              <w:spacing w:line="52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完成课时数：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评教在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系部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排名情况：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4" w:type="dxa"/>
            <w:gridSpan w:val="2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94" w:type="dxa"/>
            <w:gridSpan w:val="2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526" w:type="dxa"/>
            <w:gridSpan w:val="9"/>
            <w:vAlign w:val="center"/>
          </w:tcPr>
          <w:p>
            <w:pPr>
              <w:widowControl/>
              <w:spacing w:line="52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完成超课时数：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4" w:type="dxa"/>
            <w:gridSpan w:val="2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694" w:type="dxa"/>
            <w:gridSpan w:val="2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526" w:type="dxa"/>
            <w:gridSpan w:val="9"/>
            <w:vAlign w:val="center"/>
          </w:tcPr>
          <w:p>
            <w:pPr>
              <w:widowControl/>
              <w:spacing w:line="52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未完成课时数：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4" w:type="dxa"/>
            <w:gridSpan w:val="2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9220" w:type="dxa"/>
            <w:gridSpan w:val="11"/>
            <w:vAlign w:val="center"/>
          </w:tcPr>
          <w:p>
            <w:pPr>
              <w:widowControl/>
              <w:spacing w:line="52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教务部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审核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结果：纯课时：           超课时：         总课时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奖励调剂金考核情况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分类</w:t>
            </w: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考核内容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配分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自评分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系评分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完成额定教学工作量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  <w:t>0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68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7" w:type="dxa"/>
            <w:vMerge w:val="continue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仿宋_GB2312" w:hAnsi="宋体" w:eastAsia="仿宋_GB2312"/>
                <w:color w:val="auto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超额完成教学工作量，超额部分按每超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课时计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分，最高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教师两学期年度教学质量评价合计得分为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，最高分（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最高）对应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15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分，最低分（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最低）对应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分，按最高分与最低分之差计算权重，教师个人年度教学质量评价最后得分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Y=10+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（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X-X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最低）÷（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最高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>-X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最低）×</w:t>
            </w:r>
            <w:r>
              <w:rPr>
                <w:rFonts w:ascii="仿宋_GB2312" w:hAnsi="宋体" w:eastAsia="仿宋_GB2312"/>
                <w:color w:val="auto"/>
                <w:szCs w:val="21"/>
              </w:rPr>
              <w:t xml:space="preserve"> (15-10)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  <w:t>15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备课充分、教案完整、课件制作规范；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auto"/>
                <w:szCs w:val="21"/>
              </w:rPr>
            </w:pPr>
            <w:r>
              <w:rPr>
                <w:rFonts w:ascii="仿宋_GB2312" w:hAnsi="宋体" w:eastAsia="仿宋_GB2312"/>
                <w:color w:val="auto"/>
                <w:szCs w:val="21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教学进度计划制定；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color w:val="auto"/>
                <w:szCs w:val="21"/>
              </w:rPr>
            </w:pPr>
            <w:r>
              <w:rPr>
                <w:rFonts w:ascii="仿宋_GB2312" w:hAnsi="宋体" w:eastAsia="仿宋_GB2312"/>
                <w:color w:val="auto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新开课程与多头课教学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每新开或多开1门课程计1分，最多</w:t>
            </w: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>4分</w:t>
            </w:r>
            <w:r>
              <w:rPr>
                <w:rFonts w:hint="eastAsia" w:ascii="仿宋_GB2312" w:hAnsi="宋体" w:eastAsia="仿宋_GB2312"/>
                <w:color w:val="auto"/>
                <w:szCs w:val="21"/>
              </w:rPr>
              <w:t>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auto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作业布置与批改；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试卷命题（按教务部命题要求）；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阅卷规范（按教务部阅卷要求）；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按时提交考试成绩和试卷（按教务部要求）；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积极参加监考（每学年不少于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16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次）；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协助教务部查阅试卷（每学年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次）；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内部听课（每学期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节）；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52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808" w:type="dxa"/>
            <w:gridSpan w:val="4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教研活动、例会出勤率。全勤，5分；迟到、请病假（以医院证明为准）每次扣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0.3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分；请事假一次扣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分；无故缺勤一次扣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分；扣完为止；</w:t>
            </w:r>
          </w:p>
        </w:tc>
        <w:tc>
          <w:tcPr>
            <w:tcW w:w="568" w:type="dxa"/>
            <w:gridSpan w:val="2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27" w:type="dxa"/>
            <w:vMerge w:val="restart"/>
            <w:vAlign w:val="center"/>
          </w:tcPr>
          <w:p>
            <w:pPr>
              <w:spacing w:line="30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奖励调剂金考核情况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分类</w:t>
            </w: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考核内容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配分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自评分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系评分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教科研工作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和专业课程建设</w:t>
            </w: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完成科研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基本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工作量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四类及以上期刊发表论文、出版学术专著、获得专利证书、主持厅级及以上教科研项目结题、参加省厅部门、省级专业学会（行业学(协）会〉主办的有届次的专业性综合展览或竞赛获三等及以上奖项、讲师参加省级及以上教科研项目结题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指导暑期社会实践、课外科研、大学生创新创业训练计划项目校级计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分、省级计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分、国家级计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3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jc w:val="both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指导学生本（专）科毕业论文（设计）每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10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篇计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分，最高2分；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jc w:val="both"/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参与论文答辩，担任评委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  <w:t>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jc w:val="both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主持新专业申报、参与培养方案制定与修订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宋体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主持本科教学质量工程项目校级、省级、国家级分别计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参与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本科教学质量工程项目校级、省级、国家级分别计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</w:t>
            </w:r>
          </w:p>
        </w:tc>
        <w:tc>
          <w:tcPr>
            <w:tcW w:w="56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27" w:type="dxa"/>
            <w:vMerge w:val="continue"/>
            <w:vAlign w:val="center"/>
          </w:tcPr>
          <w:p>
            <w:pPr>
              <w:widowControl/>
              <w:spacing w:line="300" w:lineRule="exact"/>
              <w:ind w:firstLine="120" w:firstLineChars="5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“老带新”指导青年教师或主持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val="en-US" w:eastAsia="zh-CN"/>
              </w:rPr>
              <w:t>基层教学组织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建设；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其它工作</w:t>
            </w: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参加校际学术会议、校际学术交流活动或参与校企合作项目；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57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52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参加校本培训；全勤，2分；迟到、请病假（以医院证明为准）每次扣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0.3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分；请事假一次扣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分；无故缺勤一次扣2分；扣完为止；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52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指导实习（实训）、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开设讲座和第二课堂；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dxa"/>
            <w:vMerge w:val="continue"/>
          </w:tcPr>
          <w:p>
            <w:pPr>
              <w:widowControl/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Merge w:val="restart"/>
            <w:vAlign w:val="center"/>
          </w:tcPr>
          <w:p>
            <w:pPr>
              <w:widowControl/>
              <w:spacing w:line="48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指导科技作品、技能竞赛等；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指导学生办画展（设计展）1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  <w:t>分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；</w:t>
            </w:r>
          </w:p>
          <w:p>
            <w:pPr>
              <w:autoSpaceDN w:val="0"/>
              <w:spacing w:line="280" w:lineRule="exac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指导学生参加省级及以上学科竞赛、学生科研或社会实践获国家级一、二、三等奖计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4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分，获省级一、二、三等奖计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3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分、</w:t>
            </w:r>
            <w:r>
              <w:rPr>
                <w:rFonts w:ascii="仿宋_GB2312" w:hAnsi="宋体" w:eastAsia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Cs w:val="21"/>
              </w:rPr>
              <w:t>分（同一奖项取最高分）；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27" w:type="dxa"/>
            <w:vMerge w:val="continue"/>
          </w:tcPr>
          <w:p>
            <w:pPr>
              <w:widowControl/>
              <w:spacing w:line="300" w:lineRule="exact"/>
              <w:ind w:firstLine="120" w:firstLineChars="5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widowControl/>
              <w:spacing w:line="300" w:lineRule="exact"/>
              <w:ind w:firstLine="120" w:firstLineChars="5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376" w:type="dxa"/>
            <w:gridSpan w:val="6"/>
            <w:vMerge w:val="continue"/>
            <w:vAlign w:val="center"/>
          </w:tcPr>
          <w:p>
            <w:pPr>
              <w:autoSpaceDN w:val="0"/>
              <w:spacing w:line="280" w:lineRule="exac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037" w:type="dxa"/>
            <w:gridSpan w:val="9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得分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70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</w:trPr>
        <w:tc>
          <w:tcPr>
            <w:tcW w:w="1526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审核情况</w:t>
            </w:r>
          </w:p>
        </w:tc>
        <w:tc>
          <w:tcPr>
            <w:tcW w:w="2929" w:type="dxa"/>
            <w:gridSpan w:val="2"/>
            <w:vAlign w:val="top"/>
          </w:tcPr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教研室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：</w:t>
            </w:r>
          </w:p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48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     </w:t>
            </w:r>
          </w:p>
          <w:p>
            <w:pPr>
              <w:spacing w:line="480" w:lineRule="exact"/>
              <w:jc w:val="both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 xml:space="preserve">              </w:t>
            </w:r>
          </w:p>
        </w:tc>
        <w:tc>
          <w:tcPr>
            <w:tcW w:w="2929" w:type="dxa"/>
            <w:gridSpan w:val="2"/>
            <w:vAlign w:val="top"/>
          </w:tcPr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教务部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：</w:t>
            </w:r>
          </w:p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930" w:type="dxa"/>
            <w:gridSpan w:val="6"/>
            <w:vAlign w:val="top"/>
          </w:tcPr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院：</w:t>
            </w:r>
          </w:p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</w:p>
          <w:p>
            <w:pPr>
              <w:spacing w:line="48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680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00B"/>
    <w:rsid w:val="00057658"/>
    <w:rsid w:val="00057D6C"/>
    <w:rsid w:val="000713C8"/>
    <w:rsid w:val="0009700B"/>
    <w:rsid w:val="00164A30"/>
    <w:rsid w:val="001854AA"/>
    <w:rsid w:val="00192CAC"/>
    <w:rsid w:val="00193E4B"/>
    <w:rsid w:val="002145F6"/>
    <w:rsid w:val="0023694D"/>
    <w:rsid w:val="002C159D"/>
    <w:rsid w:val="002D7A9C"/>
    <w:rsid w:val="002F1AE3"/>
    <w:rsid w:val="0030597F"/>
    <w:rsid w:val="0031790E"/>
    <w:rsid w:val="00334902"/>
    <w:rsid w:val="003852CD"/>
    <w:rsid w:val="003B7D1E"/>
    <w:rsid w:val="00426850"/>
    <w:rsid w:val="004B561F"/>
    <w:rsid w:val="00585DAE"/>
    <w:rsid w:val="005C38CA"/>
    <w:rsid w:val="005D1960"/>
    <w:rsid w:val="005D3695"/>
    <w:rsid w:val="005E79B7"/>
    <w:rsid w:val="006128F5"/>
    <w:rsid w:val="006672AB"/>
    <w:rsid w:val="00686BA7"/>
    <w:rsid w:val="006A36E9"/>
    <w:rsid w:val="006B5187"/>
    <w:rsid w:val="00712DFF"/>
    <w:rsid w:val="007270E7"/>
    <w:rsid w:val="007805E0"/>
    <w:rsid w:val="007855A6"/>
    <w:rsid w:val="008448B8"/>
    <w:rsid w:val="008A0358"/>
    <w:rsid w:val="008B216A"/>
    <w:rsid w:val="008E0E8F"/>
    <w:rsid w:val="00924A5E"/>
    <w:rsid w:val="009925D8"/>
    <w:rsid w:val="009B2E7B"/>
    <w:rsid w:val="00A91B89"/>
    <w:rsid w:val="00B50871"/>
    <w:rsid w:val="00BE5B1B"/>
    <w:rsid w:val="00C06199"/>
    <w:rsid w:val="00C3309B"/>
    <w:rsid w:val="00C46F24"/>
    <w:rsid w:val="00C53178"/>
    <w:rsid w:val="00C93171"/>
    <w:rsid w:val="00CE3183"/>
    <w:rsid w:val="00D040B3"/>
    <w:rsid w:val="00E53C3C"/>
    <w:rsid w:val="00E70677"/>
    <w:rsid w:val="00EE6F76"/>
    <w:rsid w:val="00EF0D2A"/>
    <w:rsid w:val="00F53EAB"/>
    <w:rsid w:val="00FC31EB"/>
    <w:rsid w:val="00FD527A"/>
    <w:rsid w:val="04402513"/>
    <w:rsid w:val="06425648"/>
    <w:rsid w:val="0AD8630D"/>
    <w:rsid w:val="0C727870"/>
    <w:rsid w:val="104764E4"/>
    <w:rsid w:val="17383646"/>
    <w:rsid w:val="17E910E2"/>
    <w:rsid w:val="19FF73FC"/>
    <w:rsid w:val="1C541BFD"/>
    <w:rsid w:val="28A10C81"/>
    <w:rsid w:val="2F3453C9"/>
    <w:rsid w:val="31E63980"/>
    <w:rsid w:val="43D321F1"/>
    <w:rsid w:val="46C76285"/>
    <w:rsid w:val="5C9369AA"/>
    <w:rsid w:val="6114688D"/>
    <w:rsid w:val="744A0E06"/>
    <w:rsid w:val="7E487830"/>
    <w:rsid w:val="7F98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locked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9">
    <w:name w:val="页眉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248</Words>
  <Characters>1417</Characters>
  <Lines>11</Lines>
  <Paragraphs>3</Paragraphs>
  <TotalTime>1</TotalTime>
  <ScaleCrop>false</ScaleCrop>
  <LinksUpToDate>false</LinksUpToDate>
  <CharactersWithSpaces>1662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2015-09-01T08:07:00Z</dcterms:created>
  <dc:creator>admin</dc:creator>
  <cp:lastModifiedBy>敏于事，慎于言</cp:lastModifiedBy>
  <cp:lastPrinted>2021-12-23T00:09:00Z</cp:lastPrinted>
  <dcterms:modified xsi:type="dcterms:W3CDTF">2021-12-27T08:46:45Z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008E63FB4C844BC5B1511F8F0A4D4B4C</vt:lpwstr>
  </property>
</Properties>
</file>